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DBXtgAAAAMAQAADwAAAAAAAAABACAAAAAiAAAAZHJzL2Rvd25yZXYueG1sUEsB&#10;AhQAFAAAAAgAh07iQC6KxuD1AQAA6QMAAA4AAAAAAAAAAQAgAAAAJwEAAGRycy9lMm9Eb2MueG1s&#10;UEsFBgAAAAAGAAYAWQEAAI4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spacing w:line="400" w:lineRule="exact"/>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b/>
          <w:sz w:val="30"/>
          <w:szCs w:val="30"/>
        </w:rPr>
        <w:t>Hoechst 33342/PI双染试剂盒</w:t>
      </w:r>
      <w:r>
        <w:rPr>
          <w:rFonts w:hint="eastAsia" w:ascii="微软雅黑" w:hAnsi="微软雅黑" w:eastAsia="微软雅黑" w:cs="微软雅黑"/>
          <w:b/>
          <w:bCs/>
          <w:sz w:val="30"/>
          <w:szCs w:val="30"/>
          <w:lang w:val="en-US" w:eastAsia="zh-CN"/>
        </w:rPr>
        <w:t>说明书</w:t>
      </w:r>
    </w:p>
    <w:p>
      <w:pPr>
        <w:spacing w:line="400" w:lineRule="exact"/>
        <w:jc w:val="both"/>
        <w:rPr>
          <w:rFonts w:hint="eastAsia" w:ascii="微软雅黑" w:hAnsi="微软雅黑" w:eastAsia="微软雅黑" w:cs="微软雅黑"/>
          <w:b/>
          <w:bCs/>
          <w:sz w:val="30"/>
          <w:szCs w:val="30"/>
          <w:lang w:val="en-US" w:eastAsia="zh-CN"/>
        </w:rPr>
      </w:pPr>
    </w:p>
    <w:tbl>
      <w:tblPr>
        <w:tblStyle w:val="9"/>
        <w:tblW w:w="0" w:type="auto"/>
        <w:tblInd w:w="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346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00" w:type="dxa"/>
          </w:tcPr>
          <w:p>
            <w:pPr>
              <w:jc w:val="center"/>
              <w:rPr>
                <w:rFonts w:hint="eastAsia" w:ascii="微软雅黑" w:hAnsi="微软雅黑" w:eastAsia="微软雅黑"/>
                <w:szCs w:val="21"/>
                <w:vertAlign w:val="baseline"/>
                <w:lang w:eastAsia="zh-CN"/>
              </w:rPr>
            </w:pPr>
            <w:r>
              <w:rPr>
                <w:rFonts w:hint="eastAsia" w:ascii="微软雅黑" w:hAnsi="微软雅黑" w:eastAsia="微软雅黑"/>
                <w:szCs w:val="21"/>
                <w:vertAlign w:val="baseline"/>
                <w:lang w:eastAsia="zh-CN"/>
              </w:rPr>
              <w:t>产品编号</w:t>
            </w:r>
          </w:p>
        </w:tc>
        <w:tc>
          <w:tcPr>
            <w:tcW w:w="3463" w:type="dxa"/>
          </w:tcPr>
          <w:p>
            <w:pPr>
              <w:jc w:val="center"/>
              <w:rPr>
                <w:rFonts w:hint="eastAsia" w:ascii="微软雅黑" w:hAnsi="微软雅黑" w:eastAsia="微软雅黑"/>
                <w:szCs w:val="21"/>
                <w:vertAlign w:val="baseline"/>
                <w:lang w:eastAsia="zh-CN"/>
              </w:rPr>
            </w:pPr>
            <w:r>
              <w:rPr>
                <w:rFonts w:hint="eastAsia" w:ascii="微软雅黑" w:hAnsi="微软雅黑" w:eastAsia="微软雅黑"/>
                <w:szCs w:val="21"/>
                <w:vertAlign w:val="baseline"/>
                <w:lang w:eastAsia="zh-CN"/>
              </w:rPr>
              <w:t>产品名称</w:t>
            </w:r>
          </w:p>
        </w:tc>
        <w:tc>
          <w:tcPr>
            <w:tcW w:w="1869" w:type="dxa"/>
          </w:tcPr>
          <w:p>
            <w:pPr>
              <w:jc w:val="center"/>
              <w:rPr>
                <w:rFonts w:hint="eastAsia" w:ascii="微软雅黑" w:hAnsi="微软雅黑" w:eastAsia="微软雅黑"/>
                <w:szCs w:val="21"/>
                <w:vertAlign w:val="baseline"/>
                <w:lang w:eastAsia="zh-CN"/>
              </w:rPr>
            </w:pPr>
            <w:r>
              <w:rPr>
                <w:rFonts w:hint="eastAsia" w:ascii="微软雅黑" w:hAnsi="微软雅黑" w:eastAsia="微软雅黑"/>
                <w:szCs w:val="21"/>
                <w:vertAlign w:val="baseline"/>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jc w:val="center"/>
              <w:rPr>
                <w:rFonts w:hint="eastAsia" w:ascii="微软雅黑" w:hAnsi="微软雅黑" w:eastAsia="微软雅黑"/>
                <w:szCs w:val="21"/>
                <w:vertAlign w:val="baseline"/>
              </w:rPr>
            </w:pPr>
            <w:bookmarkStart w:id="0" w:name="_GoBack"/>
            <w:r>
              <w:rPr>
                <w:rFonts w:hint="eastAsia" w:ascii="微软雅黑" w:hAnsi="微软雅黑" w:eastAsia="微软雅黑"/>
                <w:szCs w:val="21"/>
                <w:vertAlign w:val="baseline"/>
              </w:rPr>
              <w:t>RC20284</w:t>
            </w:r>
            <w:bookmarkEnd w:id="0"/>
          </w:p>
        </w:tc>
        <w:tc>
          <w:tcPr>
            <w:tcW w:w="3463"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Hoechst 33342/PI双染试剂盒</w:t>
            </w:r>
          </w:p>
        </w:tc>
        <w:tc>
          <w:tcPr>
            <w:tcW w:w="1869" w:type="dxa"/>
          </w:tcPr>
          <w:p>
            <w:pPr>
              <w:jc w:val="center"/>
              <w:rPr>
                <w:rFonts w:hint="default" w:ascii="微软雅黑" w:hAnsi="微软雅黑" w:eastAsia="微软雅黑"/>
                <w:szCs w:val="21"/>
                <w:vertAlign w:val="baseline"/>
                <w:lang w:val="en-US" w:eastAsia="zh-CN"/>
              </w:rPr>
            </w:pPr>
            <w:r>
              <w:rPr>
                <w:rFonts w:hint="eastAsia" w:ascii="微软雅黑" w:hAnsi="微软雅黑" w:eastAsia="微软雅黑"/>
                <w:szCs w:val="21"/>
                <w:vertAlign w:val="baseline"/>
                <w:lang w:val="en-US" w:eastAsia="zh-CN"/>
              </w:rPr>
              <w:t>100T</w:t>
            </w:r>
          </w:p>
        </w:tc>
      </w:tr>
    </w:tbl>
    <w:p>
      <w:pPr>
        <w:jc w:val="both"/>
        <w:rPr>
          <w:rFonts w:hint="eastAsia" w:ascii="微软雅黑" w:hAnsi="微软雅黑" w:eastAsia="微软雅黑" w:cs="微软雅黑"/>
          <w:b/>
          <w:bCs/>
          <w:sz w:val="24"/>
          <w:szCs w:val="24"/>
          <w:lang w:val="en-US" w:eastAsia="zh-CN"/>
        </w:rPr>
      </w:pPr>
    </w:p>
    <w:p>
      <w:pPr>
        <w:pStyle w:val="4"/>
        <w:spacing w:before="204"/>
        <w:ind w:left="100"/>
        <w:rPr>
          <w:rFonts w:hint="eastAsia" w:ascii="宋体" w:hAnsi="宋体" w:eastAsia="宋体" w:cs="宋体"/>
          <w:sz w:val="24"/>
          <w:szCs w:val="24"/>
          <w:lang w:val="en-US" w:eastAsia="zh-CN" w:bidi="zh-CN"/>
        </w:rPr>
      </w:pPr>
      <w:r>
        <w:rPr>
          <w:rFonts w:hint="eastAsia" w:ascii="微软雅黑" w:hAnsi="微软雅黑" w:eastAsia="微软雅黑" w:cs="微软雅黑"/>
          <w:b/>
          <w:bCs/>
          <w:sz w:val="24"/>
          <w:szCs w:val="24"/>
          <w:lang w:val="en-US" w:eastAsia="zh-CN" w:bidi="zh-CN"/>
        </w:rPr>
        <w:t>产品简介：</w:t>
      </w:r>
    </w:p>
    <w:p>
      <w:pPr>
        <w:ind w:firstLine="420" w:firstLineChars="200"/>
        <w:jc w:val="both"/>
        <w:rPr>
          <w:rFonts w:ascii="Arial" w:hAnsi="Arial" w:eastAsia="Arial" w:cs="Arial"/>
          <w:i w:val="0"/>
          <w:caps w:val="0"/>
          <w:color w:val="000000"/>
          <w:spacing w:val="0"/>
          <w:sz w:val="21"/>
          <w:szCs w:val="21"/>
          <w:shd w:val="clear" w:fill="FFFFFF"/>
        </w:rPr>
      </w:pPr>
      <w:r>
        <w:rPr>
          <w:rFonts w:hint="eastAsia" w:ascii="宋体" w:hAnsi="宋体" w:eastAsia="宋体" w:cs="宋体"/>
          <w:sz w:val="21"/>
          <w:szCs w:val="21"/>
        </w:rPr>
        <w:t>细胞凋亡Hoechst 33342 /PI双染试剂盒为您提供了一种经典而又快速简便的细胞凋亡与细胞坏死检测方法。</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本试剂盒采用Hoechst 33342和碘化丙啶（Propidium Iodide，PI）双染的方法。细胞核荧光染料Hoechst 33342可以穿透细胞膜，嵌入双链DNA后释放蓝色荧光。对于正常细胞，其可少许进入细胞膜使其染上低蓝色。而凋亡细胞由于细胞膜通透性增强，从而使得进入凋亡细胞内的Hoechst 33342明显多于正常细胞，荧光强度比正常细胞要高。另外，细胞发生凋亡时染色质会固缩，从而使得染料能更有效和聚集的结合于DNA，并且凋亡细胞膜上的p-糖蛋白泵功能受损而不能有效的将Hoechst 33342排除到细胞外使其在细胞内的积累增加，这些特征都使得凋亡细胞经染色后荧光强度会比正常细胞明显增大。但细胞核荧光染料PI不能穿透细胞膜完整的正常细胞或凋亡细胞，即活细胞对PI染料拒染。而对于坏死细胞，其细胞膜的完整性在早期即已丧失，可被PI染色。上述两种染料双染后，使用流式细胞仪或荧光显微镜检测时，正常细胞为低蓝色/低红色（Hoechst 33342+/PI+），凋亡细胞为高蓝色/低红色（Hoechst 33342++/PI+），坏死细胞为低蓝色/高红色（Hoechst 33342+/PI++）。</w:t>
      </w:r>
    </w:p>
    <w:p>
      <w:pPr>
        <w:jc w:val="both"/>
      </w:pPr>
      <w:r>
        <w:drawing>
          <wp:inline distT="0" distB="0" distL="114300" distR="114300">
            <wp:extent cx="5711190" cy="4525645"/>
            <wp:effectExtent l="0" t="0" r="3810" b="825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5"/>
                    <a:stretch>
                      <a:fillRect/>
                    </a:stretch>
                  </pic:blipFill>
                  <pic:spPr>
                    <a:xfrm>
                      <a:off x="0" y="0"/>
                      <a:ext cx="5711190" cy="4525645"/>
                    </a:xfrm>
                    <a:prstGeom prst="rect">
                      <a:avLst/>
                    </a:prstGeom>
                    <a:noFill/>
                    <a:ln>
                      <a:noFill/>
                    </a:ln>
                  </pic:spPr>
                </pic:pic>
              </a:graphicData>
            </a:graphic>
          </wp:inline>
        </w:drawing>
      </w:r>
    </w:p>
    <w:p>
      <w:pPr>
        <w:jc w:val="both"/>
      </w:pPr>
    </w:p>
    <w:p>
      <w:pPr>
        <w:jc w:val="both"/>
      </w:pPr>
    </w:p>
    <w:p>
      <w:pPr>
        <w:jc w:val="both"/>
      </w:pP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本试剂盒染色快速方便，两种染料的染色仅需20-30 min，一步染色即可完成。可用一步法或者两步法进行染色。使用流式细胞仪检测时，无需稀释等配制过程，也无需再准备其它任何溶液。本试剂盒足够检测100个样品，每个样品的细胞数量可达105-106个。</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lang w:val="en-US" w:eastAsia="zh-CN" w:bidi="zh-CN"/>
        </w:rPr>
      </w:pPr>
    </w:p>
    <w:p>
      <w:pPr>
        <w:rPr>
          <w:rFonts w:hint="default" w:ascii="微软雅黑" w:hAnsi="微软雅黑" w:eastAsia="微软雅黑" w:cs="微软雅黑"/>
          <w:b/>
          <w:bCs/>
          <w:sz w:val="24"/>
          <w:szCs w:val="24"/>
          <w:lang w:val="zh-CN" w:eastAsia="zh-CN" w:bidi="zh-CN"/>
        </w:rPr>
      </w:pPr>
      <w:r>
        <w:rPr>
          <w:rFonts w:hint="eastAsia" w:ascii="微软雅黑" w:hAnsi="微软雅黑" w:eastAsia="微软雅黑" w:cs="微软雅黑"/>
          <w:b/>
          <w:bCs/>
          <w:sz w:val="24"/>
          <w:szCs w:val="24"/>
          <w:lang w:val="zh-CN" w:eastAsia="zh-CN" w:bidi="zh-CN"/>
        </w:rPr>
        <w:t>产品组份：</w:t>
      </w:r>
    </w:p>
    <w:tbl>
      <w:tblPr>
        <w:tblStyle w:val="9"/>
        <w:tblW w:w="0" w:type="auto"/>
        <w:tblInd w:w="1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50"/>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0" w:type="dxa"/>
          </w:tcPr>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组份</w:t>
            </w:r>
          </w:p>
        </w:tc>
        <w:tc>
          <w:tcPr>
            <w:tcW w:w="2875" w:type="dxa"/>
          </w:tcPr>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0" w:type="dxa"/>
          </w:tcPr>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细胞染色缓冲液</w:t>
            </w:r>
          </w:p>
        </w:tc>
        <w:tc>
          <w:tcPr>
            <w:tcW w:w="2875"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50" w:type="dxa"/>
          </w:tcPr>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Hoechst染色液</w:t>
            </w:r>
          </w:p>
        </w:tc>
        <w:tc>
          <w:tcPr>
            <w:tcW w:w="2875"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0.5ml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50" w:type="dxa"/>
          </w:tcPr>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PI染色液</w:t>
            </w:r>
          </w:p>
        </w:tc>
        <w:tc>
          <w:tcPr>
            <w:tcW w:w="2875"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val="en-US" w:eastAsia="zh-CN" w:bidi="zh-CN"/>
              </w:rPr>
              <w:t>0.5ml</w:t>
            </w:r>
          </w:p>
        </w:tc>
      </w:tr>
    </w:tbl>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bCs/>
          <w:kern w:val="0"/>
          <w:sz w:val="24"/>
          <w:szCs w:val="24"/>
          <w:lang w:val="zh-CN" w:eastAsia="zh-CN" w:bidi="zh-CN"/>
        </w:rPr>
      </w:pPr>
      <w:r>
        <w:rPr>
          <w:rFonts w:hint="default" w:ascii="微软雅黑" w:hAnsi="微软雅黑" w:eastAsia="微软雅黑" w:cs="微软雅黑"/>
          <w:b/>
          <w:bCs/>
          <w:kern w:val="0"/>
          <w:sz w:val="24"/>
          <w:szCs w:val="24"/>
          <w:lang w:val="zh-CN" w:eastAsia="zh-CN" w:bidi="zh-CN"/>
        </w:rPr>
        <w:t>使用方法：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宋体" w:hAnsi="宋体" w:eastAsia="宋体" w:cs="宋体"/>
          <w:kern w:val="0"/>
          <w:sz w:val="21"/>
          <w:szCs w:val="21"/>
          <w:lang w:val="zh-CN" w:eastAsia="zh-CN" w:bidi="zh-CN"/>
        </w:rPr>
      </w:pPr>
      <w:r>
        <w:rPr>
          <w:rFonts w:hint="default" w:ascii="宋体" w:hAnsi="宋体" w:eastAsia="宋体" w:cs="宋体"/>
          <w:kern w:val="0"/>
          <w:sz w:val="21"/>
          <w:szCs w:val="21"/>
          <w:lang w:val="zh-CN" w:eastAsia="zh-CN" w:bidi="zh-CN"/>
        </w:rPr>
        <w:t>1. 悬浮生长的细胞离心（4℃，1000 g离心3-5 min）收集，固定培养的细胞消化收集后，将105~106个细胞悬浮于1 mL培养基中，离心（4℃，1000 g离心3-5 min）弃上清。细胞沉淀用0.8-1 mL细胞染色缓冲液重悬浮细胞。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宋体" w:hAnsi="宋体" w:eastAsia="宋体" w:cs="宋体"/>
          <w:kern w:val="0"/>
          <w:sz w:val="21"/>
          <w:szCs w:val="21"/>
          <w:lang w:val="zh-CN" w:eastAsia="zh-CN" w:bidi="zh-CN"/>
        </w:rPr>
      </w:pPr>
      <w:r>
        <w:rPr>
          <w:rFonts w:hint="default" w:ascii="宋体" w:hAnsi="宋体" w:eastAsia="宋体" w:cs="宋体"/>
          <w:kern w:val="0"/>
          <w:sz w:val="21"/>
          <w:szCs w:val="21"/>
          <w:lang w:val="zh-CN" w:eastAsia="zh-CN" w:bidi="zh-CN"/>
        </w:rPr>
        <w:t>2. 加入5 μL Hoechst染色液。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宋体" w:hAnsi="宋体" w:eastAsia="宋体" w:cs="宋体"/>
          <w:kern w:val="0"/>
          <w:sz w:val="21"/>
          <w:szCs w:val="21"/>
          <w:lang w:val="zh-CN" w:eastAsia="zh-CN" w:bidi="zh-CN"/>
        </w:rPr>
      </w:pPr>
      <w:r>
        <w:rPr>
          <w:rFonts w:hint="default" w:ascii="宋体" w:hAnsi="宋体" w:eastAsia="宋体" w:cs="宋体"/>
          <w:kern w:val="0"/>
          <w:sz w:val="21"/>
          <w:szCs w:val="21"/>
          <w:lang w:val="zh-CN" w:eastAsia="zh-CN" w:bidi="zh-CN"/>
        </w:rPr>
        <w:t>3. 加入5 μL PI染色液。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宋体" w:hAnsi="宋体" w:eastAsia="宋体" w:cs="宋体"/>
          <w:kern w:val="0"/>
          <w:sz w:val="21"/>
          <w:szCs w:val="21"/>
          <w:lang w:val="zh-CN" w:eastAsia="zh-CN" w:bidi="zh-CN"/>
        </w:rPr>
      </w:pPr>
      <w:r>
        <w:rPr>
          <w:rFonts w:hint="default" w:ascii="宋体" w:hAnsi="宋体" w:eastAsia="宋体" w:cs="宋体"/>
          <w:kern w:val="0"/>
          <w:sz w:val="21"/>
          <w:szCs w:val="21"/>
          <w:lang w:val="zh-CN" w:eastAsia="zh-CN" w:bidi="zh-CN"/>
        </w:rPr>
        <w:t>4. 混匀，冰浴或4℃孵育20-30 min。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宋体" w:hAnsi="宋体" w:eastAsia="宋体" w:cs="宋体"/>
          <w:kern w:val="0"/>
          <w:sz w:val="21"/>
          <w:szCs w:val="21"/>
          <w:lang w:val="zh-CN" w:eastAsia="zh-CN" w:bidi="zh-CN"/>
        </w:rPr>
      </w:pPr>
      <w:r>
        <w:rPr>
          <w:rFonts w:hint="default" w:ascii="宋体" w:hAnsi="宋体" w:eastAsia="宋体" w:cs="宋体"/>
          <w:kern w:val="0"/>
          <w:sz w:val="21"/>
          <w:szCs w:val="21"/>
          <w:lang w:val="zh-CN" w:eastAsia="zh-CN" w:bidi="zh-CN"/>
        </w:rPr>
        <w:t>5. 用流式细胞仪检测红色荧光和蓝色荧光。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宋体" w:hAnsi="宋体" w:eastAsia="宋体" w:cs="宋体"/>
          <w:kern w:val="0"/>
          <w:sz w:val="21"/>
          <w:szCs w:val="21"/>
          <w:lang w:val="zh-CN" w:eastAsia="zh-CN" w:bidi="zh-CN"/>
        </w:rPr>
      </w:pPr>
      <w:r>
        <w:rPr>
          <w:rFonts w:hint="default" w:ascii="宋体" w:hAnsi="宋体" w:eastAsia="宋体" w:cs="宋体"/>
          <w:kern w:val="0"/>
          <w:sz w:val="21"/>
          <w:szCs w:val="21"/>
          <w:lang w:val="zh-CN" w:eastAsia="zh-CN" w:bidi="zh-CN"/>
        </w:rPr>
        <w:t>6. 如果使用荧光显微镜检测，检测前离心沉淀细胞，用PBS洗涤一次，再涂片观察红色荧光和蓝色荧光。对于贴壁细胞使用荧光显微镜检测，可以不收集细胞，直接依次按照上述比例加入细胞染色缓冲液、Hoechst染色液和PI染色液冰浴或4℃染色20-30 min。染色后PBS洗涤一次，再在荧光显微镜下观察。</w:t>
      </w: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bCs/>
          <w:kern w:val="0"/>
          <w:sz w:val="24"/>
          <w:szCs w:val="24"/>
          <w:lang w:val="zh-CN" w:eastAsia="zh-CN" w:bidi="zh-CN"/>
        </w:rPr>
      </w:pPr>
      <w:r>
        <w:rPr>
          <w:rFonts w:hint="default" w:ascii="微软雅黑" w:hAnsi="微软雅黑" w:eastAsia="微软雅黑" w:cs="微软雅黑"/>
          <w:b/>
          <w:bCs/>
          <w:kern w:val="0"/>
          <w:sz w:val="24"/>
          <w:szCs w:val="24"/>
          <w:lang w:val="zh-CN" w:eastAsia="zh-CN" w:bidi="zh-CN"/>
        </w:rPr>
        <w:t>注意事项：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1. 流式细胞仪分析或荧光显微镜观察：Heochst 33342用氪激光激发的紫外光，激发波长为352 nm，发射波长为400~500 nm，产生蓝色荧光；PI用氩离子激光激发荧光，激发光波波长为488 nm，发射光波波长大于630 nm，产生红色荧光。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2. 在红色荧光对蓝色荧光散点图上，还可见到细胞凋亡区向细胞坏死区迁移的轨迹，可能是凋亡细胞的DNA进一步降解的缘故。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3. 用Heochst 33342染料与细胞孵育的时间不宜过长，一般控制在20 min之内为宜。如果太长可引起Heochst 33342的发射光谱由蓝光向红光的迁移，导致红色荧光与蓝色荧光的比例改变，从而影响结果的判断。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4. 染色后宜尽快检测。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5. 为减缓荧光淬灭可以使用抗荧光淬灭封片液。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6. Hoechst 33342对人体有害，碘化丙啶（PI）对人体有刺激性，请注意适当防护。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7. 本产品仅限于专业人员的科学研究用，不得用于临床诊断或治疗，不得用于食品或药品，不得存放于普通住宅内。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8. 为了您的安全和健康，请穿实验服并戴一次性手套操作。</w:t>
      </w: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b/>
          <w:bCs/>
          <w:kern w:val="0"/>
          <w:sz w:val="24"/>
          <w:szCs w:val="24"/>
          <w:lang w:val="zh-CN" w:eastAsia="zh-CN" w:bidi="zh-CN"/>
        </w:rPr>
      </w:pPr>
      <w:r>
        <w:rPr>
          <w:rFonts w:hint="default" w:ascii="微软雅黑" w:hAnsi="微软雅黑" w:eastAsia="微软雅黑" w:cs="微软雅黑"/>
          <w:b/>
          <w:bCs/>
          <w:kern w:val="0"/>
          <w:sz w:val="24"/>
          <w:szCs w:val="24"/>
          <w:lang w:val="zh-CN" w:eastAsia="zh-CN" w:bidi="zh-CN"/>
        </w:rPr>
        <w:t>保存条件：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rPr>
        <w:t>4℃保存有效期一年，-20℃保存有效期两年。Hoechst染色液和PI染色液需避光保存。</w:t>
      </w: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503309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9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iChdcAAAAIAQAADwAAAAAAAAABACAAAAAiAAAAZHJzL2Rvd25yZXYueG1sUEsBAhQAFAAA&#10;AAgAh07iQLnfshFiAgAA0QQAAA4AAAAAAAAAAQAgAAAAJgEAAGRycy9lMm9Eb2MueG1sUEsFBgAA&#10;AAAGAAYAWQEAAPo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0DF6358"/>
    <w:rsid w:val="01145508"/>
    <w:rsid w:val="02656349"/>
    <w:rsid w:val="03A55FB4"/>
    <w:rsid w:val="04E82583"/>
    <w:rsid w:val="05061FA2"/>
    <w:rsid w:val="06747324"/>
    <w:rsid w:val="074046F5"/>
    <w:rsid w:val="08052BF3"/>
    <w:rsid w:val="08314152"/>
    <w:rsid w:val="08E22FF9"/>
    <w:rsid w:val="09771772"/>
    <w:rsid w:val="0A160B13"/>
    <w:rsid w:val="0CD03759"/>
    <w:rsid w:val="0E05003A"/>
    <w:rsid w:val="0EF37BC9"/>
    <w:rsid w:val="10123F64"/>
    <w:rsid w:val="10B937BA"/>
    <w:rsid w:val="1257478E"/>
    <w:rsid w:val="12DE4B5D"/>
    <w:rsid w:val="133270C2"/>
    <w:rsid w:val="13747265"/>
    <w:rsid w:val="138C3DB5"/>
    <w:rsid w:val="15094E42"/>
    <w:rsid w:val="17BE39E4"/>
    <w:rsid w:val="17C72D48"/>
    <w:rsid w:val="18E60643"/>
    <w:rsid w:val="18F21F10"/>
    <w:rsid w:val="190405BB"/>
    <w:rsid w:val="19D9085E"/>
    <w:rsid w:val="1A111D38"/>
    <w:rsid w:val="1C4A5DCF"/>
    <w:rsid w:val="1C6F5233"/>
    <w:rsid w:val="1DE47B23"/>
    <w:rsid w:val="1ECA2316"/>
    <w:rsid w:val="1ED51427"/>
    <w:rsid w:val="1F564DF1"/>
    <w:rsid w:val="1FAF7714"/>
    <w:rsid w:val="205036F4"/>
    <w:rsid w:val="206B29DA"/>
    <w:rsid w:val="232A2082"/>
    <w:rsid w:val="23FF188A"/>
    <w:rsid w:val="249C62BB"/>
    <w:rsid w:val="25931122"/>
    <w:rsid w:val="26217550"/>
    <w:rsid w:val="266A0469"/>
    <w:rsid w:val="267B6097"/>
    <w:rsid w:val="27B0263A"/>
    <w:rsid w:val="27E1458F"/>
    <w:rsid w:val="286B3B4E"/>
    <w:rsid w:val="28FE1800"/>
    <w:rsid w:val="29126F5D"/>
    <w:rsid w:val="29BE142B"/>
    <w:rsid w:val="2A5B29F9"/>
    <w:rsid w:val="2B0A5988"/>
    <w:rsid w:val="2C2A7B7D"/>
    <w:rsid w:val="2C500100"/>
    <w:rsid w:val="2CF4146D"/>
    <w:rsid w:val="2D9468A8"/>
    <w:rsid w:val="2E4C2474"/>
    <w:rsid w:val="2ECF3CC2"/>
    <w:rsid w:val="2FBE291B"/>
    <w:rsid w:val="2FCB1D0D"/>
    <w:rsid w:val="3098481A"/>
    <w:rsid w:val="324159A6"/>
    <w:rsid w:val="32697AD0"/>
    <w:rsid w:val="327B2B2B"/>
    <w:rsid w:val="342A141B"/>
    <w:rsid w:val="35294AEA"/>
    <w:rsid w:val="35315692"/>
    <w:rsid w:val="360D58D9"/>
    <w:rsid w:val="37007ADE"/>
    <w:rsid w:val="37CB7FC8"/>
    <w:rsid w:val="383D440E"/>
    <w:rsid w:val="389E0F96"/>
    <w:rsid w:val="393E678C"/>
    <w:rsid w:val="3ADC0370"/>
    <w:rsid w:val="3DAC52A6"/>
    <w:rsid w:val="3DD94FB0"/>
    <w:rsid w:val="3DE12D46"/>
    <w:rsid w:val="3F1578F8"/>
    <w:rsid w:val="41E11C5E"/>
    <w:rsid w:val="420D54F7"/>
    <w:rsid w:val="42672385"/>
    <w:rsid w:val="42843918"/>
    <w:rsid w:val="436A76C0"/>
    <w:rsid w:val="436C7D7E"/>
    <w:rsid w:val="462A5F92"/>
    <w:rsid w:val="467B01DC"/>
    <w:rsid w:val="47EA0923"/>
    <w:rsid w:val="48DF7540"/>
    <w:rsid w:val="49265300"/>
    <w:rsid w:val="4B1D1D88"/>
    <w:rsid w:val="4DB23AB5"/>
    <w:rsid w:val="4F6010CA"/>
    <w:rsid w:val="501C2232"/>
    <w:rsid w:val="517B11FD"/>
    <w:rsid w:val="52214A11"/>
    <w:rsid w:val="522B07B3"/>
    <w:rsid w:val="524C4A25"/>
    <w:rsid w:val="52C40D0F"/>
    <w:rsid w:val="54901765"/>
    <w:rsid w:val="554137E0"/>
    <w:rsid w:val="56737FC6"/>
    <w:rsid w:val="572E2FBD"/>
    <w:rsid w:val="580B5B14"/>
    <w:rsid w:val="58E43842"/>
    <w:rsid w:val="5A903BC9"/>
    <w:rsid w:val="5AC853F2"/>
    <w:rsid w:val="5B5F4D7C"/>
    <w:rsid w:val="5B7D366F"/>
    <w:rsid w:val="5B7E17AA"/>
    <w:rsid w:val="5C2B58D2"/>
    <w:rsid w:val="5CC90C33"/>
    <w:rsid w:val="5D35021E"/>
    <w:rsid w:val="5DEC0ED8"/>
    <w:rsid w:val="5E4E7FA2"/>
    <w:rsid w:val="5F0500D7"/>
    <w:rsid w:val="5FE10FB9"/>
    <w:rsid w:val="60340CB9"/>
    <w:rsid w:val="60B92B56"/>
    <w:rsid w:val="6205612E"/>
    <w:rsid w:val="623678D5"/>
    <w:rsid w:val="623A6919"/>
    <w:rsid w:val="628B1E38"/>
    <w:rsid w:val="629C1EE8"/>
    <w:rsid w:val="62F767F2"/>
    <w:rsid w:val="62FB7F17"/>
    <w:rsid w:val="63FC59EE"/>
    <w:rsid w:val="665A5EB8"/>
    <w:rsid w:val="66963D6C"/>
    <w:rsid w:val="677204B2"/>
    <w:rsid w:val="69F64E52"/>
    <w:rsid w:val="69FB5894"/>
    <w:rsid w:val="6BD40F38"/>
    <w:rsid w:val="6C1023C7"/>
    <w:rsid w:val="6D6B48A6"/>
    <w:rsid w:val="6D8E5CCF"/>
    <w:rsid w:val="6EB206AF"/>
    <w:rsid w:val="6FD47DB9"/>
    <w:rsid w:val="712035B3"/>
    <w:rsid w:val="71885F24"/>
    <w:rsid w:val="72346306"/>
    <w:rsid w:val="726E2937"/>
    <w:rsid w:val="73A97B38"/>
    <w:rsid w:val="73FA1A9B"/>
    <w:rsid w:val="740F19E1"/>
    <w:rsid w:val="75106537"/>
    <w:rsid w:val="75A16D6B"/>
    <w:rsid w:val="77BD2530"/>
    <w:rsid w:val="78ED7825"/>
    <w:rsid w:val="79E44FEE"/>
    <w:rsid w:val="7BD1728A"/>
    <w:rsid w:val="7C3D7EC0"/>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dcterms:modified xsi:type="dcterms:W3CDTF">2021-03-05T02:29:57Z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2052-11.1.0.10314</vt:lpwstr>
  </property>
</Properties>
</file>